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1" w:rsidRDefault="006254D1" w:rsidP="005C4465">
      <w:pPr>
        <w:spacing w:after="0"/>
        <w:ind w:right="283" w:firstLine="0"/>
        <w:jc w:val="center"/>
        <w:rPr>
          <w:lang w:val="uk-UA"/>
        </w:rPr>
      </w:pPr>
    </w:p>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02190521"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603560" w:rsidP="005C4465">
      <w:pPr>
        <w:spacing w:after="0"/>
        <w:ind w:firstLine="0"/>
        <w:jc w:val="left"/>
        <w:rPr>
          <w:b/>
          <w:sz w:val="24"/>
          <w:szCs w:val="24"/>
          <w:u w:val="single"/>
          <w:lang w:val="uk-UA"/>
        </w:rPr>
      </w:pPr>
      <w:r>
        <w:rPr>
          <w:sz w:val="24"/>
          <w:szCs w:val="24"/>
          <w:lang w:val="uk-UA"/>
        </w:rPr>
        <w:t>від  «_</w:t>
      </w:r>
      <w:r w:rsidR="00474963">
        <w:rPr>
          <w:sz w:val="24"/>
          <w:szCs w:val="24"/>
          <w:lang w:val="uk-UA"/>
        </w:rPr>
        <w:t xml:space="preserve">21 </w:t>
      </w:r>
      <w:r>
        <w:rPr>
          <w:sz w:val="24"/>
          <w:szCs w:val="24"/>
          <w:lang w:val="uk-UA"/>
        </w:rPr>
        <w:t>»</w:t>
      </w:r>
      <w:r w:rsidR="003635BF">
        <w:rPr>
          <w:sz w:val="24"/>
          <w:szCs w:val="24"/>
          <w:lang w:val="uk-UA"/>
        </w:rPr>
        <w:t xml:space="preserve"> __</w:t>
      </w:r>
      <w:r w:rsidR="00474963">
        <w:rPr>
          <w:sz w:val="24"/>
          <w:szCs w:val="24"/>
          <w:lang w:val="uk-UA"/>
        </w:rPr>
        <w:t>12</w:t>
      </w:r>
      <w:r w:rsidR="003635BF">
        <w:rPr>
          <w:sz w:val="24"/>
          <w:szCs w:val="24"/>
          <w:lang w:val="uk-UA"/>
        </w:rPr>
        <w:t>___ 202</w:t>
      </w:r>
      <w:r w:rsidR="00BF1E88">
        <w:rPr>
          <w:sz w:val="24"/>
          <w:szCs w:val="24"/>
          <w:lang w:val="uk-UA"/>
        </w:rPr>
        <w:t>1</w:t>
      </w:r>
      <w:r w:rsidR="005C4465" w:rsidRPr="005C4465">
        <w:rPr>
          <w:sz w:val="24"/>
          <w:szCs w:val="24"/>
          <w:lang w:val="uk-UA"/>
        </w:rPr>
        <w:t xml:space="preserve">  №  _</w:t>
      </w:r>
      <w:r w:rsidR="00474963">
        <w:rPr>
          <w:sz w:val="24"/>
          <w:szCs w:val="24"/>
          <w:lang w:val="uk-UA"/>
        </w:rPr>
        <w:t>839</w:t>
      </w:r>
      <w:r w:rsidR="005C4465" w:rsidRPr="005C4465">
        <w:rPr>
          <w:sz w:val="24"/>
          <w:szCs w:val="24"/>
          <w:lang w:val="uk-UA"/>
        </w:rPr>
        <w:t>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w:t>
      </w:r>
      <w:r w:rsidR="00474963">
        <w:rPr>
          <w:sz w:val="24"/>
          <w:szCs w:val="24"/>
          <w:lang w:val="uk-UA"/>
        </w:rPr>
        <w:t>22</w:t>
      </w:r>
      <w:r w:rsidRPr="005C4465">
        <w:rPr>
          <w:sz w:val="24"/>
          <w:szCs w:val="24"/>
          <w:lang w:val="uk-UA"/>
        </w:rPr>
        <w:t>____сесії ___</w:t>
      </w:r>
      <w:r w:rsidR="00474963">
        <w:rPr>
          <w:sz w:val="24"/>
          <w:szCs w:val="24"/>
          <w:lang w:val="uk-UA"/>
        </w:rPr>
        <w:t>8</w:t>
      </w:r>
      <w:r w:rsidRPr="005C4465">
        <w:rPr>
          <w:sz w:val="24"/>
          <w:szCs w:val="24"/>
          <w:lang w:val="uk-UA"/>
        </w:rPr>
        <w:t>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bookmarkEnd w:id="0"/>
      <w:r w:rsidR="00835092">
        <w:rPr>
          <w:sz w:val="24"/>
          <w:szCs w:val="24"/>
          <w:lang w:val="uk-UA"/>
        </w:rPr>
        <w:tab/>
      </w:r>
      <w:r w:rsidR="00835092">
        <w:rPr>
          <w:sz w:val="24"/>
          <w:szCs w:val="24"/>
          <w:lang w:val="uk-UA"/>
        </w:rPr>
        <w:tab/>
      </w:r>
      <w:r w:rsidR="00835092">
        <w:rPr>
          <w:sz w:val="24"/>
          <w:szCs w:val="24"/>
          <w:lang w:val="uk-UA"/>
        </w:rPr>
        <w:tab/>
      </w:r>
    </w:p>
    <w:p w:rsidR="006254D1" w:rsidRDefault="006254D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254D1" w:rsidRDefault="006254D1"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7A422A" w:rsidRDefault="004323E1" w:rsidP="00D87C05">
      <w:pPr>
        <w:rPr>
          <w:sz w:val="24"/>
          <w:szCs w:val="24"/>
          <w:lang w:val="uk-UA"/>
        </w:rPr>
      </w:pPr>
      <w:r>
        <w:rPr>
          <w:sz w:val="24"/>
          <w:szCs w:val="24"/>
          <w:lang w:val="uk-UA"/>
        </w:rPr>
        <w:t>2.1</w:t>
      </w:r>
      <w:r w:rsidR="00995367">
        <w:rPr>
          <w:sz w:val="24"/>
          <w:szCs w:val="24"/>
          <w:lang w:val="uk-UA"/>
        </w:rPr>
        <w:t xml:space="preserve">. </w:t>
      </w:r>
      <w:r w:rsidR="007A422A">
        <w:rPr>
          <w:sz w:val="24"/>
          <w:szCs w:val="24"/>
          <w:lang w:val="uk-UA"/>
        </w:rPr>
        <w:t>Доходів бюджету:</w:t>
      </w:r>
    </w:p>
    <w:p w:rsidR="008025FE" w:rsidRDefault="008025FE" w:rsidP="008025FE">
      <w:pPr>
        <w:rPr>
          <w:sz w:val="24"/>
          <w:szCs w:val="24"/>
          <w:lang w:val="uk-UA"/>
        </w:rPr>
      </w:pPr>
      <w:r>
        <w:rPr>
          <w:sz w:val="24"/>
          <w:szCs w:val="24"/>
          <w:lang w:val="uk-UA"/>
        </w:rPr>
        <w:t>Загальний фонд:</w:t>
      </w:r>
    </w:p>
    <w:p w:rsidR="008025FE" w:rsidRDefault="008025FE" w:rsidP="008025FE">
      <w:pPr>
        <w:rPr>
          <w:sz w:val="24"/>
          <w:szCs w:val="24"/>
          <w:lang w:val="uk-UA"/>
        </w:rPr>
      </w:pPr>
      <w:r w:rsidRPr="007A422A">
        <w:rPr>
          <w:sz w:val="24"/>
          <w:szCs w:val="24"/>
          <w:lang w:val="uk-UA"/>
        </w:rPr>
        <w:t xml:space="preserve">Відповідно до </w:t>
      </w:r>
      <w:r>
        <w:rPr>
          <w:sz w:val="24"/>
          <w:szCs w:val="24"/>
          <w:lang w:val="uk-UA"/>
        </w:rPr>
        <w:t xml:space="preserve">рішення </w:t>
      </w:r>
      <w:r w:rsidRPr="007A422A">
        <w:rPr>
          <w:sz w:val="24"/>
          <w:szCs w:val="24"/>
          <w:lang w:val="uk-UA"/>
        </w:rPr>
        <w:t xml:space="preserve">Миколаївської обласної </w:t>
      </w:r>
      <w:r>
        <w:rPr>
          <w:sz w:val="24"/>
          <w:szCs w:val="24"/>
          <w:lang w:val="uk-UA"/>
        </w:rPr>
        <w:t>ради від 24.11.2021 №1</w:t>
      </w:r>
      <w:r w:rsidRPr="007A422A">
        <w:rPr>
          <w:sz w:val="24"/>
          <w:szCs w:val="24"/>
          <w:lang w:val="uk-UA"/>
        </w:rPr>
        <w:t xml:space="preserve"> «Про </w:t>
      </w:r>
      <w:r>
        <w:rPr>
          <w:sz w:val="24"/>
          <w:szCs w:val="24"/>
          <w:lang w:val="uk-UA"/>
        </w:rPr>
        <w:t xml:space="preserve">внесення змін до </w:t>
      </w:r>
      <w:r w:rsidRPr="007A422A">
        <w:rPr>
          <w:sz w:val="24"/>
          <w:szCs w:val="24"/>
          <w:lang w:val="uk-UA"/>
        </w:rPr>
        <w:t xml:space="preserve">обласного бюджету </w:t>
      </w:r>
      <w:r>
        <w:rPr>
          <w:sz w:val="24"/>
          <w:szCs w:val="24"/>
          <w:lang w:val="uk-UA"/>
        </w:rPr>
        <w:t>Миколаївської області на</w:t>
      </w:r>
      <w:r w:rsidRPr="007A422A">
        <w:rPr>
          <w:sz w:val="24"/>
          <w:szCs w:val="24"/>
          <w:lang w:val="uk-UA"/>
        </w:rPr>
        <w:t xml:space="preserve"> 2021 р</w:t>
      </w:r>
      <w:r>
        <w:rPr>
          <w:sz w:val="24"/>
          <w:szCs w:val="24"/>
          <w:lang w:val="uk-UA"/>
        </w:rPr>
        <w:t>ік</w:t>
      </w:r>
      <w:r w:rsidRPr="007A422A">
        <w:rPr>
          <w:sz w:val="24"/>
          <w:szCs w:val="24"/>
          <w:lang w:val="uk-UA"/>
        </w:rPr>
        <w:t xml:space="preserve">» </w:t>
      </w:r>
      <w:r>
        <w:rPr>
          <w:sz w:val="24"/>
          <w:szCs w:val="24"/>
          <w:lang w:val="uk-UA"/>
        </w:rPr>
        <w:t>затвердити обсяг субвенції</w:t>
      </w:r>
      <w:r w:rsidRPr="006F03EC">
        <w:rPr>
          <w:sz w:val="24"/>
          <w:szCs w:val="24"/>
          <w:lang w:val="uk-UA"/>
        </w:rPr>
        <w:t xml:space="preserve"> з обласного бюджету місцевим бюджетам на придбання лікарських засобів, виробів медичного призначення, засобів індивідуального захисту, дезінфекційних засобів для спеціалізованих шпиталів, визначених для госпіталізації пацієнтів з підозрою та встановленим діагнозом COVID-19 </w:t>
      </w:r>
      <w:r w:rsidRPr="007A422A">
        <w:rPr>
          <w:sz w:val="24"/>
          <w:szCs w:val="24"/>
          <w:lang w:val="uk-UA"/>
        </w:rPr>
        <w:t>(ККД</w:t>
      </w:r>
      <w:r>
        <w:rPr>
          <w:sz w:val="24"/>
          <w:szCs w:val="24"/>
          <w:lang w:val="uk-UA"/>
        </w:rPr>
        <w:t>Б</w:t>
      </w:r>
      <w:r w:rsidRPr="007A422A">
        <w:rPr>
          <w:sz w:val="24"/>
          <w:szCs w:val="24"/>
          <w:lang w:val="uk-UA"/>
        </w:rPr>
        <w:t xml:space="preserve"> 41053900 «Інші су</w:t>
      </w:r>
      <w:r>
        <w:rPr>
          <w:sz w:val="24"/>
          <w:szCs w:val="24"/>
          <w:lang w:val="uk-UA"/>
        </w:rPr>
        <w:t>бвенції з місцевого бюджету») в сумі</w:t>
      </w:r>
      <w:r w:rsidRPr="007A422A">
        <w:rPr>
          <w:sz w:val="24"/>
          <w:szCs w:val="24"/>
          <w:lang w:val="uk-UA"/>
        </w:rPr>
        <w:t xml:space="preserve"> </w:t>
      </w:r>
      <w:r>
        <w:rPr>
          <w:sz w:val="24"/>
          <w:szCs w:val="24"/>
          <w:lang w:val="uk-UA"/>
        </w:rPr>
        <w:t>362 637,0</w:t>
      </w:r>
      <w:r w:rsidRPr="007A422A">
        <w:rPr>
          <w:sz w:val="24"/>
          <w:szCs w:val="24"/>
          <w:lang w:val="uk-UA"/>
        </w:rPr>
        <w:t xml:space="preserve"> грн.</w:t>
      </w:r>
    </w:p>
    <w:p w:rsidR="008025FE" w:rsidRDefault="008025FE" w:rsidP="008025FE">
      <w:pPr>
        <w:rPr>
          <w:sz w:val="24"/>
          <w:szCs w:val="24"/>
          <w:lang w:val="uk-UA"/>
        </w:rPr>
      </w:pPr>
      <w:r>
        <w:rPr>
          <w:sz w:val="24"/>
          <w:szCs w:val="24"/>
          <w:lang w:val="uk-UA"/>
        </w:rPr>
        <w:t>Спеціальний фонд:</w:t>
      </w:r>
    </w:p>
    <w:p w:rsidR="008025FE" w:rsidRPr="008025FE" w:rsidRDefault="008025FE" w:rsidP="008025FE">
      <w:pPr>
        <w:rPr>
          <w:sz w:val="24"/>
          <w:szCs w:val="24"/>
          <w:lang w:val="uk-UA"/>
        </w:rPr>
      </w:pPr>
      <w:r>
        <w:rPr>
          <w:sz w:val="24"/>
          <w:szCs w:val="24"/>
          <w:lang w:val="uk-UA"/>
        </w:rPr>
        <w:t>Затвердити с</w:t>
      </w:r>
      <w:r w:rsidRPr="008025FE">
        <w:rPr>
          <w:sz w:val="24"/>
          <w:szCs w:val="24"/>
          <w:lang w:val="uk-UA"/>
        </w:rPr>
        <w:t>убвенці</w:t>
      </w:r>
      <w:r>
        <w:rPr>
          <w:sz w:val="24"/>
          <w:szCs w:val="24"/>
          <w:lang w:val="uk-UA"/>
        </w:rPr>
        <w:t>ю</w:t>
      </w:r>
      <w:r w:rsidRPr="008025FE">
        <w:rPr>
          <w:sz w:val="24"/>
          <w:szCs w:val="24"/>
          <w:lang w:val="uk-UA"/>
        </w:rPr>
        <w:t xml:space="preserve"> з місцевого бюджету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w:t>
      </w:r>
      <w:r w:rsidRPr="008025FE">
        <w:rPr>
          <w:sz w:val="24"/>
          <w:szCs w:val="24"/>
          <w:lang w:val="uk-UA"/>
        </w:rPr>
        <w:lastRenderedPageBreak/>
        <w:t>рахунок відповідної субвенції з державного бюджету (ККДБ 41052900) в сумі 5 186 570 грн.</w:t>
      </w:r>
    </w:p>
    <w:p w:rsidR="008025FE" w:rsidRDefault="008025FE" w:rsidP="008025FE">
      <w:pPr>
        <w:rPr>
          <w:sz w:val="24"/>
          <w:szCs w:val="24"/>
          <w:lang w:val="uk-UA"/>
        </w:rPr>
      </w:pPr>
      <w:r w:rsidRPr="008025FE">
        <w:rPr>
          <w:sz w:val="24"/>
          <w:szCs w:val="24"/>
          <w:lang w:val="uk-UA"/>
        </w:rPr>
        <w:t>Взяти до уваги, що обсяг непокритої заборгованості з різниці в тарифах по комунальному підприємству «Теплопостачання та водо-каналізаційне господарство» за період з 2019 по 2020 роки (в частині груп споживачів: населення та бюджетні установи) склад</w:t>
      </w:r>
      <w:r w:rsidR="00467AE6">
        <w:rPr>
          <w:sz w:val="24"/>
          <w:szCs w:val="24"/>
          <w:lang w:val="uk-UA"/>
        </w:rPr>
        <w:t>ає 5 186 570 грн. (</w:t>
      </w:r>
      <w:r w:rsidRPr="008025FE">
        <w:rPr>
          <w:sz w:val="24"/>
          <w:szCs w:val="24"/>
          <w:lang w:val="uk-UA"/>
        </w:rPr>
        <w:t>п’ять мільйонів сто вісімдесят шість тисяч п’ятсот сімдесят гривень), що  підтверджено рішенням територіальної комісії з питань узгодження заборгованості з різниці в тарифах у Миколаївській області  від 30.09.2021 №6.</w:t>
      </w:r>
    </w:p>
    <w:p w:rsidR="00467AE6" w:rsidRDefault="00467AE6" w:rsidP="008025FE">
      <w:pPr>
        <w:rPr>
          <w:sz w:val="24"/>
          <w:szCs w:val="24"/>
          <w:lang w:val="uk-UA"/>
        </w:rPr>
      </w:pPr>
      <w:r>
        <w:rPr>
          <w:sz w:val="24"/>
          <w:szCs w:val="24"/>
          <w:lang w:val="uk-UA"/>
        </w:rPr>
        <w:t xml:space="preserve">Зменшити плановий обсяг надходжень екологічного податку (ККДБ 19010000) на 25 000,0 грн. за рахунок зменшення обсягу планових призначень видатків в частині природоохоронних заходів. </w:t>
      </w:r>
    </w:p>
    <w:p w:rsidR="002965F9" w:rsidRDefault="007A422A"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211A4A" w:rsidRDefault="00A928CD" w:rsidP="00184AAF">
      <w:pPr>
        <w:rPr>
          <w:sz w:val="24"/>
          <w:szCs w:val="24"/>
          <w:lang w:val="uk-UA"/>
        </w:rPr>
      </w:pPr>
      <w:r w:rsidRPr="008150D9">
        <w:rPr>
          <w:sz w:val="24"/>
          <w:szCs w:val="24"/>
          <w:lang w:val="uk-UA"/>
        </w:rPr>
        <w:t xml:space="preserve">Відновити на вільному залишку коштів бюджету громади обсяг невикористаних до кінця 2021 року головними розпорядниками бюджетних коштів бюджетних призначень  в сумі </w:t>
      </w:r>
      <w:r w:rsidR="00467AE6" w:rsidRPr="008150D9">
        <w:rPr>
          <w:sz w:val="24"/>
          <w:szCs w:val="24"/>
          <w:lang w:val="uk-UA"/>
        </w:rPr>
        <w:t xml:space="preserve">51 182 614,80 </w:t>
      </w:r>
      <w:r w:rsidRPr="008150D9">
        <w:rPr>
          <w:sz w:val="24"/>
          <w:szCs w:val="24"/>
          <w:lang w:val="uk-UA"/>
        </w:rPr>
        <w:t>грн.</w:t>
      </w:r>
    </w:p>
    <w:p w:rsidR="00211A4A" w:rsidRDefault="00211A4A" w:rsidP="00184AAF">
      <w:pPr>
        <w:rPr>
          <w:sz w:val="24"/>
          <w:szCs w:val="24"/>
          <w:lang w:val="uk-UA"/>
        </w:rPr>
      </w:pPr>
      <w:r>
        <w:rPr>
          <w:sz w:val="24"/>
          <w:szCs w:val="24"/>
          <w:lang w:val="uk-UA"/>
        </w:rPr>
        <w:t xml:space="preserve">Зменшити </w:t>
      </w:r>
      <w:r w:rsidRPr="00211A4A">
        <w:rPr>
          <w:sz w:val="24"/>
          <w:szCs w:val="24"/>
          <w:lang w:val="uk-UA"/>
        </w:rPr>
        <w:t>обсяг коштів, що передається із загального фонду бюджету до бюджету розвитку (спеціальний фонд), на 37</w:t>
      </w:r>
      <w:r>
        <w:rPr>
          <w:sz w:val="24"/>
          <w:szCs w:val="24"/>
          <w:lang w:val="uk-UA"/>
        </w:rPr>
        <w:t xml:space="preserve"> </w:t>
      </w:r>
      <w:r w:rsidRPr="00211A4A">
        <w:rPr>
          <w:sz w:val="24"/>
          <w:szCs w:val="24"/>
          <w:lang w:val="uk-UA"/>
        </w:rPr>
        <w:t>943</w:t>
      </w:r>
      <w:r>
        <w:rPr>
          <w:sz w:val="24"/>
          <w:szCs w:val="24"/>
          <w:lang w:val="uk-UA"/>
        </w:rPr>
        <w:t xml:space="preserve"> </w:t>
      </w:r>
      <w:r w:rsidRPr="00211A4A">
        <w:rPr>
          <w:sz w:val="24"/>
          <w:szCs w:val="24"/>
          <w:lang w:val="uk-UA"/>
        </w:rPr>
        <w:t>960,33</w:t>
      </w:r>
      <w:r>
        <w:rPr>
          <w:sz w:val="24"/>
          <w:szCs w:val="24"/>
          <w:lang w:val="uk-UA"/>
        </w:rPr>
        <w:t xml:space="preserve"> </w:t>
      </w:r>
      <w:r w:rsidRPr="00211A4A">
        <w:rPr>
          <w:sz w:val="24"/>
          <w:szCs w:val="24"/>
          <w:lang w:val="uk-UA"/>
        </w:rPr>
        <w:t xml:space="preserve">грн. за рахунок </w:t>
      </w:r>
      <w:r>
        <w:rPr>
          <w:sz w:val="24"/>
          <w:szCs w:val="24"/>
          <w:lang w:val="uk-UA"/>
        </w:rPr>
        <w:t xml:space="preserve">вивільнення бюджетних призначень та відновлення їх на вільному залишку бюджету громади, а також за рахунок </w:t>
      </w:r>
      <w:r w:rsidRPr="00211A4A">
        <w:rPr>
          <w:sz w:val="24"/>
          <w:szCs w:val="24"/>
          <w:lang w:val="uk-UA"/>
        </w:rPr>
        <w:t>передачі бюджетних призначень між головними розпорядниками бюджетних коштів та перерозподілу видатків бюджету в межах бюджетних призначень одного головного розпорядника.</w:t>
      </w:r>
    </w:p>
    <w:p w:rsidR="00467AE6" w:rsidRDefault="00467AE6" w:rsidP="00184AAF">
      <w:pPr>
        <w:rPr>
          <w:sz w:val="24"/>
          <w:szCs w:val="24"/>
          <w:lang w:val="uk-UA"/>
        </w:rPr>
      </w:pPr>
      <w:r>
        <w:rPr>
          <w:sz w:val="24"/>
          <w:szCs w:val="24"/>
          <w:lang w:val="uk-UA"/>
        </w:rPr>
        <w:t>Відновити на залишках спеціального фонду бюджету громади, що утворились на 01.01.2021</w:t>
      </w:r>
      <w:r w:rsidR="004C7F68">
        <w:rPr>
          <w:sz w:val="24"/>
          <w:szCs w:val="24"/>
          <w:lang w:val="uk-UA"/>
        </w:rPr>
        <w:t>, бюджетні кошти</w:t>
      </w:r>
      <w:r>
        <w:rPr>
          <w:sz w:val="24"/>
          <w:szCs w:val="24"/>
          <w:lang w:val="uk-UA"/>
        </w:rPr>
        <w:t xml:space="preserve"> в частині надходжень:</w:t>
      </w:r>
    </w:p>
    <w:p w:rsidR="00467AE6" w:rsidRDefault="00467AE6" w:rsidP="008150D9">
      <w:pPr>
        <w:numPr>
          <w:ilvl w:val="0"/>
          <w:numId w:val="26"/>
        </w:numPr>
        <w:rPr>
          <w:sz w:val="24"/>
          <w:szCs w:val="24"/>
          <w:lang w:val="uk-UA"/>
        </w:rPr>
      </w:pPr>
      <w:r>
        <w:rPr>
          <w:sz w:val="24"/>
          <w:szCs w:val="24"/>
          <w:lang w:val="uk-UA"/>
        </w:rPr>
        <w:t>екологічного податку в сумі 40 730,0 грн.</w:t>
      </w:r>
    </w:p>
    <w:p w:rsidR="00467AE6" w:rsidRDefault="008150D9" w:rsidP="008150D9">
      <w:pPr>
        <w:numPr>
          <w:ilvl w:val="0"/>
          <w:numId w:val="26"/>
        </w:numPr>
        <w:rPr>
          <w:sz w:val="24"/>
          <w:szCs w:val="24"/>
          <w:lang w:val="uk-UA"/>
        </w:rPr>
      </w:pPr>
      <w:r>
        <w:rPr>
          <w:sz w:val="24"/>
          <w:szCs w:val="24"/>
          <w:lang w:val="uk-UA"/>
        </w:rPr>
        <w:t>коштів</w:t>
      </w:r>
      <w:r w:rsidRPr="008150D9">
        <w:rPr>
          <w:sz w:val="24"/>
          <w:szCs w:val="24"/>
          <w:lang w:val="uk-UA"/>
        </w:rPr>
        <w:t xml:space="preserve">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Pr>
          <w:sz w:val="24"/>
          <w:szCs w:val="24"/>
          <w:lang w:val="uk-UA"/>
        </w:rPr>
        <w:t>, в сумі 8 961,7 грн.</w:t>
      </w:r>
    </w:p>
    <w:p w:rsidR="00B862B5" w:rsidRPr="00B862B5" w:rsidRDefault="00A87F0F" w:rsidP="00B862B5">
      <w:pPr>
        <w:rPr>
          <w:sz w:val="24"/>
          <w:szCs w:val="24"/>
          <w:lang w:val="uk-UA"/>
        </w:rPr>
      </w:pPr>
      <w:r>
        <w:rPr>
          <w:sz w:val="24"/>
          <w:szCs w:val="24"/>
          <w:lang w:val="uk-UA"/>
        </w:rPr>
        <w:t>2.</w:t>
      </w:r>
      <w:r w:rsidR="00612451">
        <w:rPr>
          <w:sz w:val="24"/>
          <w:szCs w:val="24"/>
          <w:lang w:val="uk-UA"/>
        </w:rPr>
        <w:t>3</w:t>
      </w:r>
      <w:r>
        <w:rPr>
          <w:sz w:val="24"/>
          <w:szCs w:val="24"/>
          <w:lang w:val="uk-UA"/>
        </w:rPr>
        <w:t xml:space="preserve">. </w:t>
      </w:r>
      <w:r w:rsidR="00B862B5" w:rsidRPr="00B862B5">
        <w:rPr>
          <w:sz w:val="24"/>
          <w:szCs w:val="24"/>
          <w:lang w:val="uk-UA"/>
        </w:rPr>
        <w:t>Видатків бюджету:</w:t>
      </w:r>
    </w:p>
    <w:p w:rsidR="00B862B5" w:rsidRDefault="003F405C" w:rsidP="00B862B5">
      <w:pPr>
        <w:rPr>
          <w:sz w:val="24"/>
          <w:szCs w:val="24"/>
          <w:lang w:val="uk-UA"/>
        </w:rPr>
      </w:pPr>
      <w:r>
        <w:rPr>
          <w:sz w:val="24"/>
          <w:szCs w:val="24"/>
          <w:lang w:val="uk-UA"/>
        </w:rPr>
        <w:t>з</w:t>
      </w:r>
      <w:r w:rsidR="004323E1">
        <w:rPr>
          <w:sz w:val="24"/>
          <w:szCs w:val="24"/>
          <w:lang w:val="uk-UA"/>
        </w:rPr>
        <w:t>менши</w:t>
      </w:r>
      <w:r w:rsidR="008B01EF">
        <w:rPr>
          <w:sz w:val="24"/>
          <w:szCs w:val="24"/>
          <w:lang w:val="uk-UA"/>
        </w:rPr>
        <w:t>ти</w:t>
      </w:r>
      <w:r w:rsidR="00AB0EE9">
        <w:rPr>
          <w:sz w:val="24"/>
          <w:szCs w:val="24"/>
          <w:lang w:val="uk-UA"/>
        </w:rPr>
        <w:t xml:space="preserve"> </w:t>
      </w:r>
      <w:r w:rsidR="00B862B5" w:rsidRPr="00B862B5">
        <w:rPr>
          <w:sz w:val="24"/>
          <w:szCs w:val="24"/>
          <w:lang w:val="uk-UA"/>
        </w:rPr>
        <w:t xml:space="preserve">обсяг видатків загального фонду бюджету Южноукраїнської міської територіальної громади </w:t>
      </w:r>
      <w:r w:rsidR="00B862B5">
        <w:rPr>
          <w:sz w:val="24"/>
          <w:szCs w:val="24"/>
          <w:lang w:val="uk-UA"/>
        </w:rPr>
        <w:t xml:space="preserve">на </w:t>
      </w:r>
      <w:r w:rsidR="00612451" w:rsidRPr="00612451">
        <w:rPr>
          <w:sz w:val="24"/>
          <w:szCs w:val="24"/>
          <w:lang w:val="uk-UA"/>
        </w:rPr>
        <w:t>12 876 017,47</w:t>
      </w:r>
      <w:r w:rsidR="00612451">
        <w:rPr>
          <w:sz w:val="24"/>
          <w:szCs w:val="24"/>
          <w:lang w:val="uk-UA"/>
        </w:rPr>
        <w:t xml:space="preserve"> </w:t>
      </w:r>
      <w:r w:rsidR="00B862B5">
        <w:rPr>
          <w:sz w:val="24"/>
          <w:szCs w:val="24"/>
          <w:lang w:val="uk-UA"/>
        </w:rPr>
        <w:t xml:space="preserve">грн. </w:t>
      </w:r>
      <w:r w:rsidR="00B862B5" w:rsidRPr="00B862B5">
        <w:rPr>
          <w:sz w:val="24"/>
          <w:szCs w:val="24"/>
          <w:lang w:val="uk-UA"/>
        </w:rPr>
        <w:t>за рахунок зміни обсягу</w:t>
      </w:r>
      <w:r w:rsidR="004F737A">
        <w:rPr>
          <w:sz w:val="24"/>
          <w:szCs w:val="24"/>
          <w:lang w:val="uk-UA"/>
        </w:rPr>
        <w:t xml:space="preserve"> офіційних трансфертів</w:t>
      </w:r>
      <w:r w:rsidR="00B862B5" w:rsidRPr="00B862B5">
        <w:rPr>
          <w:sz w:val="24"/>
          <w:szCs w:val="24"/>
          <w:lang w:val="uk-UA"/>
        </w:rPr>
        <w:t xml:space="preserve"> </w:t>
      </w:r>
      <w:r w:rsidR="004F737A">
        <w:rPr>
          <w:sz w:val="24"/>
          <w:szCs w:val="24"/>
          <w:lang w:val="uk-UA"/>
        </w:rPr>
        <w:t xml:space="preserve">та </w:t>
      </w:r>
      <w:r w:rsidR="00B862B5" w:rsidRPr="00B862B5">
        <w:rPr>
          <w:sz w:val="24"/>
          <w:szCs w:val="24"/>
          <w:lang w:val="uk-UA"/>
        </w:rPr>
        <w:t xml:space="preserve">джерел фінансування, визначених </w:t>
      </w:r>
      <w:r w:rsidR="00612451">
        <w:rPr>
          <w:sz w:val="24"/>
          <w:szCs w:val="24"/>
          <w:lang w:val="uk-UA"/>
        </w:rPr>
        <w:t xml:space="preserve">відповідно </w:t>
      </w:r>
      <w:r w:rsidR="00B862B5" w:rsidRPr="00B862B5">
        <w:rPr>
          <w:sz w:val="24"/>
          <w:szCs w:val="24"/>
          <w:lang w:val="uk-UA"/>
        </w:rPr>
        <w:t>у пункт</w:t>
      </w:r>
      <w:r w:rsidR="004F737A">
        <w:rPr>
          <w:sz w:val="24"/>
          <w:szCs w:val="24"/>
          <w:lang w:val="uk-UA"/>
        </w:rPr>
        <w:t xml:space="preserve">ах </w:t>
      </w:r>
      <w:r w:rsidR="00695E8F">
        <w:rPr>
          <w:sz w:val="24"/>
          <w:szCs w:val="24"/>
          <w:lang w:val="uk-UA"/>
        </w:rPr>
        <w:t>2.</w:t>
      </w:r>
      <w:r w:rsidR="004323E1">
        <w:rPr>
          <w:sz w:val="24"/>
          <w:szCs w:val="24"/>
          <w:lang w:val="uk-UA"/>
        </w:rPr>
        <w:t>1</w:t>
      </w:r>
      <w:r w:rsidR="004F737A">
        <w:rPr>
          <w:sz w:val="24"/>
          <w:szCs w:val="24"/>
          <w:lang w:val="uk-UA"/>
        </w:rPr>
        <w:t xml:space="preserve"> та 2.2.</w:t>
      </w:r>
      <w:r w:rsidR="00B862B5" w:rsidRPr="00B862B5">
        <w:rPr>
          <w:sz w:val="24"/>
          <w:szCs w:val="24"/>
          <w:lang w:val="uk-UA"/>
        </w:rPr>
        <w:t xml:space="preserve"> цього рішення; </w:t>
      </w:r>
    </w:p>
    <w:p w:rsidR="00EC2F4C" w:rsidRDefault="00612451" w:rsidP="00EC2F4C">
      <w:pPr>
        <w:rPr>
          <w:sz w:val="24"/>
          <w:szCs w:val="24"/>
          <w:lang w:val="uk-UA"/>
        </w:rPr>
      </w:pPr>
      <w:r>
        <w:rPr>
          <w:sz w:val="24"/>
          <w:szCs w:val="24"/>
          <w:lang w:val="uk-UA"/>
        </w:rPr>
        <w:t xml:space="preserve">зменшити </w:t>
      </w:r>
      <w:r w:rsidR="00EC2F4C" w:rsidRPr="00B862B5">
        <w:rPr>
          <w:sz w:val="24"/>
          <w:szCs w:val="24"/>
          <w:lang w:val="uk-UA"/>
        </w:rPr>
        <w:t xml:space="preserve">обсяг видатків спеціального фонду бюджету Южноукраїнської міської територіальної громади на </w:t>
      </w:r>
      <w:r w:rsidRPr="00612451">
        <w:rPr>
          <w:sz w:val="24"/>
          <w:szCs w:val="24"/>
          <w:lang w:val="uk-UA"/>
        </w:rPr>
        <w:t>32 832 082,03</w:t>
      </w:r>
      <w:r w:rsidR="004F737A" w:rsidRPr="004F737A">
        <w:rPr>
          <w:sz w:val="24"/>
          <w:szCs w:val="24"/>
          <w:lang w:val="uk-UA"/>
        </w:rPr>
        <w:t xml:space="preserve"> </w:t>
      </w:r>
      <w:r w:rsidR="00EC2F4C">
        <w:rPr>
          <w:sz w:val="24"/>
          <w:szCs w:val="24"/>
          <w:lang w:val="uk-UA"/>
        </w:rPr>
        <w:t xml:space="preserve">грн. </w:t>
      </w:r>
      <w:r w:rsidR="00EC2F4C" w:rsidRPr="00B862B5">
        <w:rPr>
          <w:sz w:val="24"/>
          <w:szCs w:val="24"/>
          <w:lang w:val="uk-UA"/>
        </w:rPr>
        <w:t>за рахунок зміни</w:t>
      </w:r>
      <w:r>
        <w:rPr>
          <w:sz w:val="24"/>
          <w:szCs w:val="24"/>
          <w:lang w:val="uk-UA"/>
        </w:rPr>
        <w:t xml:space="preserve"> обсягів</w:t>
      </w:r>
      <w:r w:rsidR="00EC2F4C" w:rsidRPr="00B862B5">
        <w:rPr>
          <w:sz w:val="24"/>
          <w:szCs w:val="24"/>
          <w:lang w:val="uk-UA"/>
        </w:rPr>
        <w:t xml:space="preserve"> </w:t>
      </w:r>
      <w:r>
        <w:rPr>
          <w:sz w:val="24"/>
          <w:szCs w:val="24"/>
          <w:lang w:val="uk-UA"/>
        </w:rPr>
        <w:t xml:space="preserve">доходів бюджету та </w:t>
      </w:r>
      <w:r w:rsidR="00EC2F4C" w:rsidRPr="00B862B5">
        <w:rPr>
          <w:sz w:val="24"/>
          <w:szCs w:val="24"/>
          <w:lang w:val="uk-UA"/>
        </w:rPr>
        <w:t>джерел фінанс</w:t>
      </w:r>
      <w:r w:rsidR="00A65149">
        <w:rPr>
          <w:sz w:val="24"/>
          <w:szCs w:val="24"/>
          <w:lang w:val="uk-UA"/>
        </w:rPr>
        <w:t>ування, визначен</w:t>
      </w:r>
      <w:r w:rsidR="00EC1490">
        <w:rPr>
          <w:sz w:val="24"/>
          <w:szCs w:val="24"/>
          <w:lang w:val="uk-UA"/>
        </w:rPr>
        <w:t>их</w:t>
      </w:r>
      <w:r w:rsidR="00A65149">
        <w:rPr>
          <w:sz w:val="24"/>
          <w:szCs w:val="24"/>
          <w:lang w:val="uk-UA"/>
        </w:rPr>
        <w:t xml:space="preserve"> </w:t>
      </w:r>
      <w:r>
        <w:rPr>
          <w:sz w:val="24"/>
          <w:szCs w:val="24"/>
          <w:lang w:val="uk-UA"/>
        </w:rPr>
        <w:t xml:space="preserve">відповідно </w:t>
      </w:r>
      <w:r w:rsidR="00A65149">
        <w:rPr>
          <w:sz w:val="24"/>
          <w:szCs w:val="24"/>
          <w:lang w:val="uk-UA"/>
        </w:rPr>
        <w:t>у пункт</w:t>
      </w:r>
      <w:r>
        <w:rPr>
          <w:sz w:val="24"/>
          <w:szCs w:val="24"/>
          <w:lang w:val="uk-UA"/>
        </w:rPr>
        <w:t>ах 2.1. та</w:t>
      </w:r>
      <w:r w:rsidR="00A65149">
        <w:rPr>
          <w:sz w:val="24"/>
          <w:szCs w:val="24"/>
          <w:lang w:val="uk-UA"/>
        </w:rPr>
        <w:t xml:space="preserve"> 2.</w:t>
      </w:r>
      <w:r w:rsidR="004F737A">
        <w:rPr>
          <w:sz w:val="24"/>
          <w:szCs w:val="24"/>
          <w:lang w:val="uk-UA"/>
        </w:rPr>
        <w:t>2</w:t>
      </w:r>
      <w:r>
        <w:rPr>
          <w:sz w:val="24"/>
          <w:szCs w:val="24"/>
          <w:lang w:val="uk-UA"/>
        </w:rPr>
        <w:t xml:space="preserve"> </w:t>
      </w:r>
      <w:r w:rsidR="00EC2F4C" w:rsidRPr="00B862B5">
        <w:rPr>
          <w:sz w:val="24"/>
          <w:szCs w:val="24"/>
          <w:lang w:val="uk-UA"/>
        </w:rPr>
        <w:t>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612451" w:rsidRPr="00612451">
        <w:rPr>
          <w:sz w:val="24"/>
          <w:szCs w:val="24"/>
          <w:lang w:val="uk-UA"/>
        </w:rPr>
        <w:t>657 938 442,0</w:t>
      </w:r>
      <w:r w:rsidR="00612451">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612451" w:rsidRPr="00612451">
        <w:rPr>
          <w:sz w:val="24"/>
          <w:szCs w:val="24"/>
          <w:lang w:val="uk-UA"/>
        </w:rPr>
        <w:t>640 519 346,0</w:t>
      </w:r>
      <w:r w:rsidR="00612451">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612451" w:rsidRPr="00612451">
        <w:rPr>
          <w:sz w:val="24"/>
          <w:szCs w:val="24"/>
          <w:lang w:val="uk-UA"/>
        </w:rPr>
        <w:t>17 419 096,0</w:t>
      </w:r>
      <w:r w:rsidR="00612451">
        <w:rPr>
          <w:sz w:val="24"/>
          <w:szCs w:val="24"/>
          <w:lang w:val="uk-UA"/>
        </w:rPr>
        <w:t xml:space="preserve">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612451" w:rsidRPr="00612451">
        <w:rPr>
          <w:sz w:val="24"/>
          <w:szCs w:val="24"/>
          <w:lang w:val="uk-UA"/>
        </w:rPr>
        <w:t>676 203 513,22</w:t>
      </w:r>
      <w:r w:rsidR="00612451">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612451" w:rsidRPr="00612451">
        <w:rPr>
          <w:sz w:val="24"/>
          <w:szCs w:val="24"/>
          <w:lang w:val="uk-UA"/>
        </w:rPr>
        <w:t>611 732 973,73</w:t>
      </w:r>
      <w:r w:rsidR="00612451">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3F405C" w:rsidRPr="003F405C">
        <w:rPr>
          <w:sz w:val="24"/>
          <w:szCs w:val="24"/>
          <w:lang w:val="uk-UA"/>
        </w:rPr>
        <w:t>64 470 539,49</w:t>
      </w:r>
      <w:r w:rsidR="003F405C">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3F405C" w:rsidRPr="003F405C">
        <w:rPr>
          <w:sz w:val="24"/>
          <w:szCs w:val="24"/>
          <w:lang w:val="uk-UA"/>
        </w:rPr>
        <w:t>46 974 842,51</w:t>
      </w:r>
      <w:r w:rsidR="003F405C">
        <w:rPr>
          <w:sz w:val="24"/>
          <w:szCs w:val="24"/>
          <w:lang w:val="uk-UA"/>
        </w:rPr>
        <w:t xml:space="preserve"> </w:t>
      </w:r>
      <w:r w:rsidR="006310CC" w:rsidRPr="00C27D6E">
        <w:rPr>
          <w:sz w:val="24"/>
          <w:szCs w:val="24"/>
          <w:lang w:val="uk-UA"/>
        </w:rPr>
        <w:t>грн.</w:t>
      </w:r>
      <w:r w:rsidRPr="00C27D6E">
        <w:rPr>
          <w:sz w:val="24"/>
          <w:szCs w:val="24"/>
          <w:lang w:val="uk-UA"/>
        </w:rPr>
        <w:t>;</w:t>
      </w:r>
    </w:p>
    <w:p w:rsidR="00B47091" w:rsidRDefault="003F405C" w:rsidP="00BE442F">
      <w:pPr>
        <w:tabs>
          <w:tab w:val="left" w:pos="567"/>
        </w:tabs>
        <w:rPr>
          <w:bCs/>
          <w:sz w:val="24"/>
          <w:szCs w:val="24"/>
          <w:lang w:val="uk-UA"/>
        </w:rPr>
      </w:pPr>
      <w:r>
        <w:rPr>
          <w:bCs/>
          <w:sz w:val="24"/>
          <w:szCs w:val="24"/>
          <w:lang w:val="uk-UA"/>
        </w:rPr>
        <w:lastRenderedPageBreak/>
        <w:t>профіцит</w:t>
      </w:r>
      <w:r w:rsidR="00B107E6">
        <w:rPr>
          <w:bCs/>
          <w:sz w:val="24"/>
          <w:szCs w:val="24"/>
          <w:lang w:val="uk-UA"/>
        </w:rPr>
        <w:t xml:space="preserve"> за </w:t>
      </w:r>
      <w:r w:rsidR="00B862B5" w:rsidRPr="004032AF">
        <w:rPr>
          <w:bCs/>
          <w:sz w:val="24"/>
          <w:szCs w:val="24"/>
          <w:lang w:val="uk-UA"/>
        </w:rPr>
        <w:t>загальн</w:t>
      </w:r>
      <w:r w:rsidR="00B107E6">
        <w:rPr>
          <w:bCs/>
          <w:sz w:val="24"/>
          <w:szCs w:val="24"/>
          <w:lang w:val="uk-UA"/>
        </w:rPr>
        <w:t>им</w:t>
      </w:r>
      <w:r w:rsidR="00B862B5" w:rsidRPr="004032AF">
        <w:rPr>
          <w:bCs/>
          <w:sz w:val="24"/>
          <w:szCs w:val="24"/>
          <w:lang w:val="uk-UA"/>
        </w:rPr>
        <w:t xml:space="preserve"> фонд</w:t>
      </w:r>
      <w:r w:rsidR="00B107E6">
        <w:rPr>
          <w:bCs/>
          <w:sz w:val="24"/>
          <w:szCs w:val="24"/>
          <w:lang w:val="uk-UA"/>
        </w:rPr>
        <w:t>ом</w:t>
      </w:r>
      <w:r w:rsidR="00B862B5" w:rsidRPr="004032AF">
        <w:rPr>
          <w:bCs/>
          <w:sz w:val="24"/>
          <w:szCs w:val="24"/>
          <w:lang w:val="uk-UA"/>
        </w:rPr>
        <w:t xml:space="preserve"> </w:t>
      </w:r>
      <w:r w:rsidR="00B107E6">
        <w:rPr>
          <w:bCs/>
          <w:sz w:val="24"/>
          <w:szCs w:val="24"/>
          <w:lang w:val="uk-UA"/>
        </w:rPr>
        <w:t>бюджету</w:t>
      </w:r>
      <w:r w:rsidR="00B862B5" w:rsidRPr="004032AF">
        <w:rPr>
          <w:bCs/>
          <w:sz w:val="24"/>
          <w:szCs w:val="24"/>
          <w:lang w:val="uk-UA"/>
        </w:rPr>
        <w:t xml:space="preserve"> у сумі </w:t>
      </w:r>
      <w:r w:rsidR="00E44B68">
        <w:rPr>
          <w:bCs/>
          <w:sz w:val="24"/>
          <w:szCs w:val="24"/>
          <w:lang w:val="uk-UA"/>
        </w:rPr>
        <w:t>–</w:t>
      </w:r>
      <w:r w:rsidR="00EC1490" w:rsidRPr="00EC1490">
        <w:t xml:space="preserve"> </w:t>
      </w:r>
      <w:r w:rsidRPr="003F405C">
        <w:rPr>
          <w:bCs/>
          <w:sz w:val="24"/>
          <w:szCs w:val="24"/>
          <w:lang w:val="uk-UA"/>
        </w:rPr>
        <w:t>28 786 372,27</w:t>
      </w:r>
      <w:r>
        <w:rPr>
          <w:bCs/>
          <w:sz w:val="24"/>
          <w:szCs w:val="24"/>
          <w:lang w:val="uk-UA"/>
        </w:rPr>
        <w:t xml:space="preserve"> </w:t>
      </w:r>
      <w:r w:rsidR="00B862B5">
        <w:rPr>
          <w:bCs/>
          <w:sz w:val="24"/>
          <w:szCs w:val="24"/>
          <w:lang w:val="uk-UA"/>
        </w:rPr>
        <w:t xml:space="preserve">грн., </w:t>
      </w:r>
    </w:p>
    <w:p w:rsidR="00C37A51" w:rsidRPr="003F405C" w:rsidRDefault="00B47091" w:rsidP="006254D1">
      <w:pPr>
        <w:numPr>
          <w:ilvl w:val="0"/>
          <w:numId w:val="21"/>
        </w:numPr>
        <w:tabs>
          <w:tab w:val="left" w:pos="567"/>
        </w:tabs>
        <w:ind w:left="0" w:firstLine="567"/>
        <w:rPr>
          <w:bCs/>
          <w:sz w:val="24"/>
          <w:szCs w:val="24"/>
          <w:lang w:val="uk-UA"/>
        </w:rPr>
      </w:pPr>
      <w:r w:rsidRPr="003F405C">
        <w:rPr>
          <w:bCs/>
          <w:sz w:val="24"/>
          <w:szCs w:val="24"/>
          <w:lang w:val="uk-UA"/>
        </w:rPr>
        <w:t xml:space="preserve">джерелом покриття якого визначити </w:t>
      </w:r>
      <w:r w:rsidR="00B862B5" w:rsidRPr="003F405C">
        <w:rPr>
          <w:bCs/>
          <w:sz w:val="24"/>
          <w:szCs w:val="24"/>
          <w:lang w:val="uk-UA"/>
        </w:rPr>
        <w:t xml:space="preserve">залучення вільного залишку коштів </w:t>
      </w:r>
      <w:r w:rsidR="00B107E6" w:rsidRPr="003F405C">
        <w:rPr>
          <w:bCs/>
          <w:sz w:val="24"/>
          <w:szCs w:val="24"/>
          <w:lang w:val="uk-UA"/>
        </w:rPr>
        <w:t>бюджету в</w:t>
      </w:r>
      <w:r w:rsidR="00B862B5" w:rsidRPr="003F405C">
        <w:rPr>
          <w:bCs/>
          <w:sz w:val="24"/>
          <w:szCs w:val="24"/>
          <w:lang w:val="uk-UA"/>
        </w:rPr>
        <w:t xml:space="preserve"> сумі </w:t>
      </w:r>
      <w:r w:rsidR="003F405C" w:rsidRPr="003F405C">
        <w:rPr>
          <w:bCs/>
          <w:sz w:val="24"/>
          <w:szCs w:val="24"/>
        </w:rPr>
        <w:t>17 907 133,24</w:t>
      </w:r>
      <w:r w:rsidR="003F405C">
        <w:rPr>
          <w:bCs/>
          <w:sz w:val="24"/>
          <w:szCs w:val="24"/>
          <w:lang w:val="uk-UA"/>
        </w:rPr>
        <w:t xml:space="preserve"> </w:t>
      </w:r>
      <w:r w:rsidR="00B862B5" w:rsidRPr="003F405C">
        <w:rPr>
          <w:bCs/>
          <w:sz w:val="24"/>
          <w:szCs w:val="24"/>
          <w:lang w:val="uk-UA"/>
        </w:rPr>
        <w:t xml:space="preserve">грн., із них за рахунок залишку коштів за станом на 01.01.2021, що надійшли з державного бюджету, а саме: </w:t>
      </w:r>
      <w:r w:rsidR="00B862B5" w:rsidRPr="003F405C">
        <w:rPr>
          <w:sz w:val="24"/>
          <w:szCs w:val="24"/>
          <w:lang w:val="uk-UA"/>
        </w:rPr>
        <w:t>субвенції з місцевого бюджету за рахунок залишку коштів освітньої субвенції, що утворився на початок бюджетного періоду, в сумі 342 941,89 грн.;</w:t>
      </w:r>
    </w:p>
    <w:p w:rsidR="00B862B5" w:rsidRPr="003F405C" w:rsidRDefault="00B47091" w:rsidP="006254D1">
      <w:pPr>
        <w:numPr>
          <w:ilvl w:val="0"/>
          <w:numId w:val="21"/>
        </w:numPr>
        <w:tabs>
          <w:tab w:val="left" w:pos="567"/>
        </w:tabs>
        <w:ind w:left="0" w:firstLine="567"/>
        <w:rPr>
          <w:bCs/>
          <w:sz w:val="24"/>
          <w:szCs w:val="24"/>
          <w:lang w:val="uk-UA"/>
        </w:rPr>
      </w:pPr>
      <w:r w:rsidRPr="003F405C">
        <w:rPr>
          <w:bCs/>
          <w:sz w:val="24"/>
          <w:szCs w:val="24"/>
          <w:lang w:val="uk-UA"/>
        </w:rPr>
        <w:t xml:space="preserve">напрямом використання якого визначити </w:t>
      </w:r>
      <w:r w:rsidR="00B862B5" w:rsidRPr="003F405C">
        <w:rPr>
          <w:bCs/>
          <w:sz w:val="24"/>
          <w:szCs w:val="24"/>
          <w:lang w:val="uk-UA"/>
        </w:rPr>
        <w:t xml:space="preserve">кошти, що передаються із загального фонду бюджету до бюджету розвитку (спеціального фонду), у сумі </w:t>
      </w:r>
      <w:r w:rsidR="006254D1" w:rsidRPr="003F405C">
        <w:rPr>
          <w:bCs/>
          <w:sz w:val="24"/>
          <w:szCs w:val="24"/>
          <w:lang w:val="uk-UA"/>
        </w:rPr>
        <w:t xml:space="preserve"> </w:t>
      </w:r>
      <w:r w:rsidR="003F405C">
        <w:rPr>
          <w:bCs/>
          <w:sz w:val="24"/>
          <w:szCs w:val="24"/>
          <w:lang w:val="uk-UA"/>
        </w:rPr>
        <w:t xml:space="preserve">            </w:t>
      </w:r>
      <w:r w:rsidR="003F405C" w:rsidRPr="003F405C">
        <w:rPr>
          <w:bCs/>
          <w:sz w:val="24"/>
          <w:szCs w:val="24"/>
        </w:rPr>
        <w:t>-</w:t>
      </w:r>
      <w:r w:rsidR="003F405C">
        <w:rPr>
          <w:bCs/>
          <w:sz w:val="24"/>
          <w:szCs w:val="24"/>
          <w:lang w:val="uk-UA"/>
        </w:rPr>
        <w:t xml:space="preserve"> </w:t>
      </w:r>
      <w:r w:rsidR="003F405C" w:rsidRPr="003F405C">
        <w:rPr>
          <w:bCs/>
          <w:sz w:val="24"/>
          <w:szCs w:val="24"/>
        </w:rPr>
        <w:t>46 693 505,51</w:t>
      </w:r>
      <w:r w:rsidR="006254D1" w:rsidRPr="003F405C">
        <w:rPr>
          <w:bCs/>
          <w:sz w:val="24"/>
          <w:szCs w:val="24"/>
          <w:lang w:val="uk-UA"/>
        </w:rPr>
        <w:t xml:space="preserve"> </w:t>
      </w:r>
      <w:r w:rsidRPr="003F405C">
        <w:rPr>
          <w:bCs/>
          <w:sz w:val="24"/>
          <w:szCs w:val="24"/>
          <w:lang w:val="uk-UA"/>
        </w:rPr>
        <w:t>грн.</w:t>
      </w:r>
      <w:r w:rsidR="00B862B5" w:rsidRPr="003F405C">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44B68">
        <w:rPr>
          <w:bCs/>
          <w:sz w:val="24"/>
          <w:szCs w:val="24"/>
          <w:lang w:val="uk-UA"/>
        </w:rPr>
        <w:t>–</w:t>
      </w:r>
      <w:r w:rsidR="00C37A51">
        <w:rPr>
          <w:bCs/>
          <w:sz w:val="24"/>
          <w:szCs w:val="24"/>
          <w:lang w:val="uk-UA"/>
        </w:rPr>
        <w:t xml:space="preserve"> </w:t>
      </w:r>
      <w:r w:rsidR="003F405C" w:rsidRPr="003F405C">
        <w:rPr>
          <w:bCs/>
          <w:sz w:val="24"/>
          <w:szCs w:val="24"/>
        </w:rPr>
        <w:t>47 051 443,49</w:t>
      </w:r>
      <w:r w:rsidR="003F405C">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3F405C" w:rsidRDefault="00B862B5" w:rsidP="006254D1">
      <w:pPr>
        <w:numPr>
          <w:ilvl w:val="0"/>
          <w:numId w:val="2"/>
        </w:numPr>
        <w:tabs>
          <w:tab w:val="left" w:pos="142"/>
        </w:tabs>
        <w:ind w:left="0" w:firstLine="567"/>
        <w:rPr>
          <w:bCs/>
          <w:sz w:val="24"/>
          <w:szCs w:val="24"/>
          <w:lang w:val="uk-UA"/>
        </w:rPr>
      </w:pPr>
      <w:r w:rsidRPr="003F405C">
        <w:rPr>
          <w:sz w:val="24"/>
          <w:szCs w:val="24"/>
          <w:lang w:val="uk-UA"/>
        </w:rPr>
        <w:t>залучення залишків коштів на рахунках спеціального фонду бюджету на 01.01.20</w:t>
      </w:r>
      <w:r w:rsidR="00B107E6" w:rsidRPr="003F405C">
        <w:rPr>
          <w:sz w:val="24"/>
          <w:szCs w:val="24"/>
          <w:lang w:val="uk-UA"/>
        </w:rPr>
        <w:t>21</w:t>
      </w:r>
      <w:r w:rsidRPr="003F405C">
        <w:rPr>
          <w:sz w:val="24"/>
          <w:szCs w:val="24"/>
          <w:lang w:val="uk-UA"/>
        </w:rPr>
        <w:t xml:space="preserve"> у сумі </w:t>
      </w:r>
      <w:r w:rsidR="003F405C" w:rsidRPr="003F405C">
        <w:rPr>
          <w:sz w:val="24"/>
          <w:szCs w:val="24"/>
        </w:rPr>
        <w:t>357 937,98</w:t>
      </w:r>
      <w:r w:rsidR="003F405C" w:rsidRPr="003F405C">
        <w:rPr>
          <w:sz w:val="24"/>
          <w:szCs w:val="24"/>
          <w:lang w:val="uk-UA"/>
        </w:rPr>
        <w:t xml:space="preserve"> </w:t>
      </w:r>
      <w:r w:rsidRPr="003F405C">
        <w:rPr>
          <w:sz w:val="24"/>
          <w:szCs w:val="24"/>
          <w:lang w:val="uk-UA"/>
        </w:rPr>
        <w:t xml:space="preserve">гривень, із них бюджет розвитку - </w:t>
      </w:r>
      <w:r w:rsidR="003F405C" w:rsidRPr="003F405C">
        <w:rPr>
          <w:sz w:val="24"/>
          <w:szCs w:val="24"/>
        </w:rPr>
        <w:t>281 337,00</w:t>
      </w:r>
      <w:r w:rsidR="00E40255" w:rsidRPr="003F405C">
        <w:rPr>
          <w:sz w:val="24"/>
          <w:szCs w:val="24"/>
          <w:lang w:val="uk-UA"/>
        </w:rPr>
        <w:t xml:space="preserve"> </w:t>
      </w:r>
      <w:r w:rsidR="00B107E6" w:rsidRPr="003F405C">
        <w:rPr>
          <w:sz w:val="24"/>
          <w:szCs w:val="24"/>
          <w:lang w:val="uk-UA"/>
        </w:rPr>
        <w:t>грн.</w:t>
      </w:r>
      <w:r w:rsidRPr="003F405C">
        <w:rPr>
          <w:sz w:val="24"/>
          <w:szCs w:val="24"/>
          <w:lang w:val="uk-UA"/>
        </w:rPr>
        <w:t>;</w:t>
      </w:r>
    </w:p>
    <w:p w:rsidR="00B862B5" w:rsidRDefault="00B862B5" w:rsidP="006254D1">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3F405C" w:rsidRPr="003F405C">
        <w:rPr>
          <w:bCs/>
          <w:sz w:val="24"/>
          <w:szCs w:val="24"/>
        </w:rPr>
        <w:t>46 693 505,51</w:t>
      </w:r>
      <w:r w:rsidR="006254D1" w:rsidRPr="006254D1">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862C92">
      <w:pPr>
        <w:numPr>
          <w:ilvl w:val="0"/>
          <w:numId w:val="12"/>
        </w:numPr>
        <w:tabs>
          <w:tab w:val="left" w:pos="851"/>
          <w:tab w:val="left" w:pos="1134"/>
        </w:tabs>
        <w:ind w:hanging="5322"/>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862C9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4C7F68">
          <w:headerReference w:type="even" r:id="rId10"/>
          <w:headerReference w:type="default" r:id="rId11"/>
          <w:pgSz w:w="11906" w:h="16838"/>
          <w:pgMar w:top="709" w:right="851" w:bottom="709" w:left="2268" w:header="709" w:footer="709" w:gutter="0"/>
          <w:pgNumType w:start="1"/>
          <w:cols w:space="708"/>
          <w:titlePg/>
          <w:docGrid w:linePitch="360"/>
        </w:sectPr>
      </w:pPr>
    </w:p>
    <w:p w:rsidR="00417B64" w:rsidRPr="000370CC" w:rsidRDefault="00417B64" w:rsidP="00474963">
      <w:pPr>
        <w:spacing w:after="0"/>
        <w:ind w:firstLine="0"/>
        <w:rPr>
          <w:lang w:val="uk-UA"/>
        </w:rPr>
      </w:pPr>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26" w:rsidRDefault="00637526">
      <w:r>
        <w:separator/>
      </w:r>
    </w:p>
  </w:endnote>
  <w:endnote w:type="continuationSeparator" w:id="0">
    <w:p w:rsidR="00637526" w:rsidRDefault="0063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26" w:rsidRDefault="00637526">
      <w:r>
        <w:separator/>
      </w:r>
    </w:p>
  </w:footnote>
  <w:footnote w:type="continuationSeparator" w:id="0">
    <w:p w:rsidR="00637526" w:rsidRDefault="0063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474963">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6434A08"/>
    <w:multiLevelType w:val="hybridMultilevel"/>
    <w:tmpl w:val="621888FC"/>
    <w:lvl w:ilvl="0" w:tplc="EA405D36">
      <w:start w:val="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7"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3"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9"/>
  </w:num>
  <w:num w:numId="3">
    <w:abstractNumId w:val="0"/>
  </w:num>
  <w:num w:numId="4">
    <w:abstractNumId w:val="22"/>
  </w:num>
  <w:num w:numId="5">
    <w:abstractNumId w:val="16"/>
  </w:num>
  <w:num w:numId="6">
    <w:abstractNumId w:val="17"/>
  </w:num>
  <w:num w:numId="7">
    <w:abstractNumId w:val="24"/>
  </w:num>
  <w:num w:numId="8">
    <w:abstractNumId w:val="5"/>
  </w:num>
  <w:num w:numId="9">
    <w:abstractNumId w:val="1"/>
  </w:num>
  <w:num w:numId="10">
    <w:abstractNumId w:val="18"/>
  </w:num>
  <w:num w:numId="11">
    <w:abstractNumId w:val="3"/>
  </w:num>
  <w:num w:numId="12">
    <w:abstractNumId w:val="15"/>
  </w:num>
  <w:num w:numId="13">
    <w:abstractNumId w:val="8"/>
  </w:num>
  <w:num w:numId="14">
    <w:abstractNumId w:val="12"/>
  </w:num>
  <w:num w:numId="15">
    <w:abstractNumId w:val="10"/>
  </w:num>
  <w:num w:numId="16">
    <w:abstractNumId w:val="6"/>
  </w:num>
  <w:num w:numId="17">
    <w:abstractNumId w:val="23"/>
  </w:num>
  <w:num w:numId="18">
    <w:abstractNumId w:val="2"/>
  </w:num>
  <w:num w:numId="19">
    <w:abstractNumId w:val="4"/>
  </w:num>
  <w:num w:numId="20">
    <w:abstractNumId w:val="25"/>
  </w:num>
  <w:num w:numId="21">
    <w:abstractNumId w:val="14"/>
  </w:num>
  <w:num w:numId="22">
    <w:abstractNumId w:val="20"/>
  </w:num>
  <w:num w:numId="23">
    <w:abstractNumId w:val="13"/>
  </w:num>
  <w:num w:numId="24">
    <w:abstractNumId w:val="9"/>
  </w:num>
  <w:num w:numId="25">
    <w:abstractNumId w:val="21"/>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318"/>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305"/>
    <w:rsid w:val="0011493C"/>
    <w:rsid w:val="00115AC9"/>
    <w:rsid w:val="001253D5"/>
    <w:rsid w:val="0012549A"/>
    <w:rsid w:val="0012665C"/>
    <w:rsid w:val="00126682"/>
    <w:rsid w:val="00126706"/>
    <w:rsid w:val="001322B0"/>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0E8E"/>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1A4A"/>
    <w:rsid w:val="00212357"/>
    <w:rsid w:val="00212AA5"/>
    <w:rsid w:val="00212FB3"/>
    <w:rsid w:val="0021371C"/>
    <w:rsid w:val="0021469B"/>
    <w:rsid w:val="0021496F"/>
    <w:rsid w:val="0021696E"/>
    <w:rsid w:val="00217BDA"/>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014"/>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E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490A"/>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05C"/>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362"/>
    <w:rsid w:val="0046194F"/>
    <w:rsid w:val="00461B5D"/>
    <w:rsid w:val="00462C58"/>
    <w:rsid w:val="0046330A"/>
    <w:rsid w:val="00463F75"/>
    <w:rsid w:val="00465921"/>
    <w:rsid w:val="00467AE6"/>
    <w:rsid w:val="00470CD6"/>
    <w:rsid w:val="00471238"/>
    <w:rsid w:val="00473803"/>
    <w:rsid w:val="00474312"/>
    <w:rsid w:val="00474963"/>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6B5A"/>
    <w:rsid w:val="004B21D0"/>
    <w:rsid w:val="004B2683"/>
    <w:rsid w:val="004B4BAF"/>
    <w:rsid w:val="004B673D"/>
    <w:rsid w:val="004C1C4D"/>
    <w:rsid w:val="004C3239"/>
    <w:rsid w:val="004C688E"/>
    <w:rsid w:val="004C6E46"/>
    <w:rsid w:val="004C719A"/>
    <w:rsid w:val="004C7678"/>
    <w:rsid w:val="004C7F6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306"/>
    <w:rsid w:val="00545FE9"/>
    <w:rsid w:val="00547B59"/>
    <w:rsid w:val="00550680"/>
    <w:rsid w:val="00551774"/>
    <w:rsid w:val="00551F19"/>
    <w:rsid w:val="00552705"/>
    <w:rsid w:val="00553DE6"/>
    <w:rsid w:val="00555439"/>
    <w:rsid w:val="005555DF"/>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2451"/>
    <w:rsid w:val="0061605E"/>
    <w:rsid w:val="00617A58"/>
    <w:rsid w:val="00622F7C"/>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37526"/>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2FFF"/>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3EC"/>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19D"/>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7E0"/>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25FE"/>
    <w:rsid w:val="0080412A"/>
    <w:rsid w:val="00805002"/>
    <w:rsid w:val="00805282"/>
    <w:rsid w:val="00805EA5"/>
    <w:rsid w:val="0080724B"/>
    <w:rsid w:val="0080767C"/>
    <w:rsid w:val="00807B7C"/>
    <w:rsid w:val="00807D16"/>
    <w:rsid w:val="008100C2"/>
    <w:rsid w:val="00810B0F"/>
    <w:rsid w:val="00812D01"/>
    <w:rsid w:val="008142C0"/>
    <w:rsid w:val="008150D9"/>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579DB"/>
    <w:rsid w:val="00860171"/>
    <w:rsid w:val="008603D5"/>
    <w:rsid w:val="008607CE"/>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0BC"/>
    <w:rsid w:val="00917F76"/>
    <w:rsid w:val="009201A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6DD2"/>
    <w:rsid w:val="00A50AD2"/>
    <w:rsid w:val="00A519E6"/>
    <w:rsid w:val="00A51C14"/>
    <w:rsid w:val="00A5368B"/>
    <w:rsid w:val="00A54553"/>
    <w:rsid w:val="00A54A87"/>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271D4"/>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6FA"/>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763"/>
    <w:rsid w:val="00C434A8"/>
    <w:rsid w:val="00C43513"/>
    <w:rsid w:val="00C43B5C"/>
    <w:rsid w:val="00C45607"/>
    <w:rsid w:val="00C47934"/>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2C93"/>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4B68"/>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A0F"/>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32C3"/>
    <w:rsid w:val="00FD5099"/>
    <w:rsid w:val="00FD5FBC"/>
    <w:rsid w:val="00FD77E4"/>
    <w:rsid w:val="00FD7C06"/>
    <w:rsid w:val="00FE18FC"/>
    <w:rsid w:val="00FE2736"/>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434881-A6FD-46D6-8DC4-6E22BEB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7547">
      <w:marLeft w:val="0"/>
      <w:marRight w:val="0"/>
      <w:marTop w:val="0"/>
      <w:marBottom w:val="0"/>
      <w:divBdr>
        <w:top w:val="none" w:sz="0" w:space="0" w:color="auto"/>
        <w:left w:val="none" w:sz="0" w:space="0" w:color="auto"/>
        <w:bottom w:val="none" w:sz="0" w:space="0" w:color="auto"/>
        <w:right w:val="none" w:sz="0" w:space="0" w:color="auto"/>
      </w:divBdr>
    </w:div>
    <w:div w:id="1842237548">
      <w:marLeft w:val="0"/>
      <w:marRight w:val="0"/>
      <w:marTop w:val="0"/>
      <w:marBottom w:val="0"/>
      <w:divBdr>
        <w:top w:val="none" w:sz="0" w:space="0" w:color="auto"/>
        <w:left w:val="none" w:sz="0" w:space="0" w:color="auto"/>
        <w:bottom w:val="none" w:sz="0" w:space="0" w:color="auto"/>
        <w:right w:val="none" w:sz="0" w:space="0" w:color="auto"/>
      </w:divBdr>
    </w:div>
    <w:div w:id="1842237549">
      <w:marLeft w:val="0"/>
      <w:marRight w:val="0"/>
      <w:marTop w:val="0"/>
      <w:marBottom w:val="0"/>
      <w:divBdr>
        <w:top w:val="none" w:sz="0" w:space="0" w:color="auto"/>
        <w:left w:val="none" w:sz="0" w:space="0" w:color="auto"/>
        <w:bottom w:val="none" w:sz="0" w:space="0" w:color="auto"/>
        <w:right w:val="none" w:sz="0" w:space="0" w:color="auto"/>
      </w:divBdr>
    </w:div>
    <w:div w:id="1842237550">
      <w:marLeft w:val="0"/>
      <w:marRight w:val="0"/>
      <w:marTop w:val="0"/>
      <w:marBottom w:val="0"/>
      <w:divBdr>
        <w:top w:val="none" w:sz="0" w:space="0" w:color="auto"/>
        <w:left w:val="none" w:sz="0" w:space="0" w:color="auto"/>
        <w:bottom w:val="none" w:sz="0" w:space="0" w:color="auto"/>
        <w:right w:val="none" w:sz="0" w:space="0" w:color="auto"/>
      </w:divBdr>
    </w:div>
    <w:div w:id="1842237551">
      <w:marLeft w:val="0"/>
      <w:marRight w:val="0"/>
      <w:marTop w:val="0"/>
      <w:marBottom w:val="0"/>
      <w:divBdr>
        <w:top w:val="none" w:sz="0" w:space="0" w:color="auto"/>
        <w:left w:val="none" w:sz="0" w:space="0" w:color="auto"/>
        <w:bottom w:val="none" w:sz="0" w:space="0" w:color="auto"/>
        <w:right w:val="none" w:sz="0" w:space="0" w:color="auto"/>
      </w:divBdr>
    </w:div>
    <w:div w:id="1842237552">
      <w:marLeft w:val="0"/>
      <w:marRight w:val="0"/>
      <w:marTop w:val="0"/>
      <w:marBottom w:val="0"/>
      <w:divBdr>
        <w:top w:val="none" w:sz="0" w:space="0" w:color="auto"/>
        <w:left w:val="none" w:sz="0" w:space="0" w:color="auto"/>
        <w:bottom w:val="none" w:sz="0" w:space="0" w:color="auto"/>
        <w:right w:val="none" w:sz="0" w:space="0" w:color="auto"/>
      </w:divBdr>
    </w:div>
    <w:div w:id="1842237553">
      <w:marLeft w:val="0"/>
      <w:marRight w:val="0"/>
      <w:marTop w:val="0"/>
      <w:marBottom w:val="0"/>
      <w:divBdr>
        <w:top w:val="none" w:sz="0" w:space="0" w:color="auto"/>
        <w:left w:val="none" w:sz="0" w:space="0" w:color="auto"/>
        <w:bottom w:val="none" w:sz="0" w:space="0" w:color="auto"/>
        <w:right w:val="none" w:sz="0" w:space="0" w:color="auto"/>
      </w:divBdr>
    </w:div>
    <w:div w:id="1842237554">
      <w:marLeft w:val="0"/>
      <w:marRight w:val="0"/>
      <w:marTop w:val="0"/>
      <w:marBottom w:val="0"/>
      <w:divBdr>
        <w:top w:val="none" w:sz="0" w:space="0" w:color="auto"/>
        <w:left w:val="none" w:sz="0" w:space="0" w:color="auto"/>
        <w:bottom w:val="none" w:sz="0" w:space="0" w:color="auto"/>
        <w:right w:val="none" w:sz="0" w:space="0" w:color="auto"/>
      </w:divBdr>
    </w:div>
    <w:div w:id="1842237555">
      <w:marLeft w:val="0"/>
      <w:marRight w:val="0"/>
      <w:marTop w:val="0"/>
      <w:marBottom w:val="0"/>
      <w:divBdr>
        <w:top w:val="none" w:sz="0" w:space="0" w:color="auto"/>
        <w:left w:val="none" w:sz="0" w:space="0" w:color="auto"/>
        <w:bottom w:val="none" w:sz="0" w:space="0" w:color="auto"/>
        <w:right w:val="none" w:sz="0" w:space="0" w:color="auto"/>
      </w:divBdr>
    </w:div>
    <w:div w:id="1842237556">
      <w:marLeft w:val="0"/>
      <w:marRight w:val="0"/>
      <w:marTop w:val="0"/>
      <w:marBottom w:val="0"/>
      <w:divBdr>
        <w:top w:val="none" w:sz="0" w:space="0" w:color="auto"/>
        <w:left w:val="none" w:sz="0" w:space="0" w:color="auto"/>
        <w:bottom w:val="none" w:sz="0" w:space="0" w:color="auto"/>
        <w:right w:val="none" w:sz="0" w:space="0" w:color="auto"/>
      </w:divBdr>
    </w:div>
    <w:div w:id="1842237557">
      <w:marLeft w:val="0"/>
      <w:marRight w:val="0"/>
      <w:marTop w:val="0"/>
      <w:marBottom w:val="0"/>
      <w:divBdr>
        <w:top w:val="none" w:sz="0" w:space="0" w:color="auto"/>
        <w:left w:val="none" w:sz="0" w:space="0" w:color="auto"/>
        <w:bottom w:val="none" w:sz="0" w:space="0" w:color="auto"/>
        <w:right w:val="none" w:sz="0" w:space="0" w:color="auto"/>
      </w:divBdr>
    </w:div>
    <w:div w:id="1842237558">
      <w:marLeft w:val="0"/>
      <w:marRight w:val="0"/>
      <w:marTop w:val="0"/>
      <w:marBottom w:val="0"/>
      <w:divBdr>
        <w:top w:val="none" w:sz="0" w:space="0" w:color="auto"/>
        <w:left w:val="none" w:sz="0" w:space="0" w:color="auto"/>
        <w:bottom w:val="none" w:sz="0" w:space="0" w:color="auto"/>
        <w:right w:val="none" w:sz="0" w:space="0" w:color="auto"/>
      </w:divBdr>
    </w:div>
    <w:div w:id="1842237559">
      <w:marLeft w:val="0"/>
      <w:marRight w:val="0"/>
      <w:marTop w:val="0"/>
      <w:marBottom w:val="0"/>
      <w:divBdr>
        <w:top w:val="none" w:sz="0" w:space="0" w:color="auto"/>
        <w:left w:val="none" w:sz="0" w:space="0" w:color="auto"/>
        <w:bottom w:val="none" w:sz="0" w:space="0" w:color="auto"/>
        <w:right w:val="none" w:sz="0" w:space="0" w:color="auto"/>
      </w:divBdr>
    </w:div>
    <w:div w:id="1842237560">
      <w:marLeft w:val="0"/>
      <w:marRight w:val="0"/>
      <w:marTop w:val="0"/>
      <w:marBottom w:val="0"/>
      <w:divBdr>
        <w:top w:val="none" w:sz="0" w:space="0" w:color="auto"/>
        <w:left w:val="none" w:sz="0" w:space="0" w:color="auto"/>
        <w:bottom w:val="none" w:sz="0" w:space="0" w:color="auto"/>
        <w:right w:val="none" w:sz="0" w:space="0" w:color="auto"/>
      </w:divBdr>
    </w:div>
    <w:div w:id="1842237561">
      <w:marLeft w:val="0"/>
      <w:marRight w:val="0"/>
      <w:marTop w:val="0"/>
      <w:marBottom w:val="0"/>
      <w:divBdr>
        <w:top w:val="none" w:sz="0" w:space="0" w:color="auto"/>
        <w:left w:val="none" w:sz="0" w:space="0" w:color="auto"/>
        <w:bottom w:val="none" w:sz="0" w:space="0" w:color="auto"/>
        <w:right w:val="none" w:sz="0" w:space="0" w:color="auto"/>
      </w:divBdr>
    </w:div>
    <w:div w:id="1842237562">
      <w:marLeft w:val="0"/>
      <w:marRight w:val="0"/>
      <w:marTop w:val="0"/>
      <w:marBottom w:val="0"/>
      <w:divBdr>
        <w:top w:val="none" w:sz="0" w:space="0" w:color="auto"/>
        <w:left w:val="none" w:sz="0" w:space="0" w:color="auto"/>
        <w:bottom w:val="none" w:sz="0" w:space="0" w:color="auto"/>
        <w:right w:val="none" w:sz="0" w:space="0" w:color="auto"/>
      </w:divBdr>
    </w:div>
    <w:div w:id="1842237563">
      <w:marLeft w:val="0"/>
      <w:marRight w:val="0"/>
      <w:marTop w:val="0"/>
      <w:marBottom w:val="0"/>
      <w:divBdr>
        <w:top w:val="none" w:sz="0" w:space="0" w:color="auto"/>
        <w:left w:val="none" w:sz="0" w:space="0" w:color="auto"/>
        <w:bottom w:val="none" w:sz="0" w:space="0" w:color="auto"/>
        <w:right w:val="none" w:sz="0" w:space="0" w:color="auto"/>
      </w:divBdr>
    </w:div>
    <w:div w:id="1842237564">
      <w:marLeft w:val="0"/>
      <w:marRight w:val="0"/>
      <w:marTop w:val="0"/>
      <w:marBottom w:val="0"/>
      <w:divBdr>
        <w:top w:val="none" w:sz="0" w:space="0" w:color="auto"/>
        <w:left w:val="none" w:sz="0" w:space="0" w:color="auto"/>
        <w:bottom w:val="none" w:sz="0" w:space="0" w:color="auto"/>
        <w:right w:val="none" w:sz="0" w:space="0" w:color="auto"/>
      </w:divBdr>
    </w:div>
    <w:div w:id="1842237565">
      <w:marLeft w:val="0"/>
      <w:marRight w:val="0"/>
      <w:marTop w:val="0"/>
      <w:marBottom w:val="0"/>
      <w:divBdr>
        <w:top w:val="none" w:sz="0" w:space="0" w:color="auto"/>
        <w:left w:val="none" w:sz="0" w:space="0" w:color="auto"/>
        <w:bottom w:val="none" w:sz="0" w:space="0" w:color="auto"/>
        <w:right w:val="none" w:sz="0" w:space="0" w:color="auto"/>
      </w:divBdr>
    </w:div>
    <w:div w:id="1842237566">
      <w:marLeft w:val="0"/>
      <w:marRight w:val="0"/>
      <w:marTop w:val="0"/>
      <w:marBottom w:val="0"/>
      <w:divBdr>
        <w:top w:val="none" w:sz="0" w:space="0" w:color="auto"/>
        <w:left w:val="none" w:sz="0" w:space="0" w:color="auto"/>
        <w:bottom w:val="none" w:sz="0" w:space="0" w:color="auto"/>
        <w:right w:val="none" w:sz="0" w:space="0" w:color="auto"/>
      </w:divBdr>
    </w:div>
    <w:div w:id="1842237567">
      <w:marLeft w:val="0"/>
      <w:marRight w:val="0"/>
      <w:marTop w:val="0"/>
      <w:marBottom w:val="0"/>
      <w:divBdr>
        <w:top w:val="none" w:sz="0" w:space="0" w:color="auto"/>
        <w:left w:val="none" w:sz="0" w:space="0" w:color="auto"/>
        <w:bottom w:val="none" w:sz="0" w:space="0" w:color="auto"/>
        <w:right w:val="none" w:sz="0" w:space="0" w:color="auto"/>
      </w:divBdr>
    </w:div>
    <w:div w:id="1842237568">
      <w:marLeft w:val="0"/>
      <w:marRight w:val="0"/>
      <w:marTop w:val="0"/>
      <w:marBottom w:val="0"/>
      <w:divBdr>
        <w:top w:val="none" w:sz="0" w:space="0" w:color="auto"/>
        <w:left w:val="none" w:sz="0" w:space="0" w:color="auto"/>
        <w:bottom w:val="none" w:sz="0" w:space="0" w:color="auto"/>
        <w:right w:val="none" w:sz="0" w:space="0" w:color="auto"/>
      </w:divBdr>
    </w:div>
    <w:div w:id="1842237569">
      <w:marLeft w:val="0"/>
      <w:marRight w:val="0"/>
      <w:marTop w:val="0"/>
      <w:marBottom w:val="0"/>
      <w:divBdr>
        <w:top w:val="none" w:sz="0" w:space="0" w:color="auto"/>
        <w:left w:val="none" w:sz="0" w:space="0" w:color="auto"/>
        <w:bottom w:val="none" w:sz="0" w:space="0" w:color="auto"/>
        <w:right w:val="none" w:sz="0" w:space="0" w:color="auto"/>
      </w:divBdr>
    </w:div>
    <w:div w:id="1842237570">
      <w:marLeft w:val="0"/>
      <w:marRight w:val="0"/>
      <w:marTop w:val="0"/>
      <w:marBottom w:val="0"/>
      <w:divBdr>
        <w:top w:val="none" w:sz="0" w:space="0" w:color="auto"/>
        <w:left w:val="none" w:sz="0" w:space="0" w:color="auto"/>
        <w:bottom w:val="none" w:sz="0" w:space="0" w:color="auto"/>
        <w:right w:val="none" w:sz="0" w:space="0" w:color="auto"/>
      </w:divBdr>
    </w:div>
    <w:div w:id="1842237571">
      <w:marLeft w:val="0"/>
      <w:marRight w:val="0"/>
      <w:marTop w:val="0"/>
      <w:marBottom w:val="0"/>
      <w:divBdr>
        <w:top w:val="none" w:sz="0" w:space="0" w:color="auto"/>
        <w:left w:val="none" w:sz="0" w:space="0" w:color="auto"/>
        <w:bottom w:val="none" w:sz="0" w:space="0" w:color="auto"/>
        <w:right w:val="none" w:sz="0" w:space="0" w:color="auto"/>
      </w:divBdr>
    </w:div>
    <w:div w:id="1842237572">
      <w:marLeft w:val="0"/>
      <w:marRight w:val="0"/>
      <w:marTop w:val="0"/>
      <w:marBottom w:val="0"/>
      <w:divBdr>
        <w:top w:val="none" w:sz="0" w:space="0" w:color="auto"/>
        <w:left w:val="none" w:sz="0" w:space="0" w:color="auto"/>
        <w:bottom w:val="none" w:sz="0" w:space="0" w:color="auto"/>
        <w:right w:val="none" w:sz="0" w:space="0" w:color="auto"/>
      </w:divBdr>
    </w:div>
    <w:div w:id="1842237573">
      <w:marLeft w:val="0"/>
      <w:marRight w:val="0"/>
      <w:marTop w:val="0"/>
      <w:marBottom w:val="0"/>
      <w:divBdr>
        <w:top w:val="none" w:sz="0" w:space="0" w:color="auto"/>
        <w:left w:val="none" w:sz="0" w:space="0" w:color="auto"/>
        <w:bottom w:val="none" w:sz="0" w:space="0" w:color="auto"/>
        <w:right w:val="none" w:sz="0" w:space="0" w:color="auto"/>
      </w:divBdr>
    </w:div>
    <w:div w:id="1842237574">
      <w:marLeft w:val="0"/>
      <w:marRight w:val="0"/>
      <w:marTop w:val="0"/>
      <w:marBottom w:val="0"/>
      <w:divBdr>
        <w:top w:val="none" w:sz="0" w:space="0" w:color="auto"/>
        <w:left w:val="none" w:sz="0" w:space="0" w:color="auto"/>
        <w:bottom w:val="none" w:sz="0" w:space="0" w:color="auto"/>
        <w:right w:val="none" w:sz="0" w:space="0" w:color="auto"/>
      </w:divBdr>
    </w:div>
    <w:div w:id="1842237575">
      <w:marLeft w:val="0"/>
      <w:marRight w:val="0"/>
      <w:marTop w:val="0"/>
      <w:marBottom w:val="0"/>
      <w:divBdr>
        <w:top w:val="none" w:sz="0" w:space="0" w:color="auto"/>
        <w:left w:val="none" w:sz="0" w:space="0" w:color="auto"/>
        <w:bottom w:val="none" w:sz="0" w:space="0" w:color="auto"/>
        <w:right w:val="none" w:sz="0" w:space="0" w:color="auto"/>
      </w:divBdr>
    </w:div>
    <w:div w:id="1842237576">
      <w:marLeft w:val="0"/>
      <w:marRight w:val="0"/>
      <w:marTop w:val="0"/>
      <w:marBottom w:val="0"/>
      <w:divBdr>
        <w:top w:val="none" w:sz="0" w:space="0" w:color="auto"/>
        <w:left w:val="none" w:sz="0" w:space="0" w:color="auto"/>
        <w:bottom w:val="none" w:sz="0" w:space="0" w:color="auto"/>
        <w:right w:val="none" w:sz="0" w:space="0" w:color="auto"/>
      </w:divBdr>
    </w:div>
    <w:div w:id="1842237577">
      <w:marLeft w:val="0"/>
      <w:marRight w:val="0"/>
      <w:marTop w:val="0"/>
      <w:marBottom w:val="0"/>
      <w:divBdr>
        <w:top w:val="none" w:sz="0" w:space="0" w:color="auto"/>
        <w:left w:val="none" w:sz="0" w:space="0" w:color="auto"/>
        <w:bottom w:val="none" w:sz="0" w:space="0" w:color="auto"/>
        <w:right w:val="none" w:sz="0" w:space="0" w:color="auto"/>
      </w:divBdr>
    </w:div>
    <w:div w:id="1842237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C0A9-5EE4-4C97-BDDB-C4CA412B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2021-12-23T08:59:00Z</cp:lastPrinted>
  <dcterms:created xsi:type="dcterms:W3CDTF">2021-12-28T07:56:00Z</dcterms:created>
  <dcterms:modified xsi:type="dcterms:W3CDTF">2021-12-28T07:56:00Z</dcterms:modified>
</cp:coreProperties>
</file>